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HBCU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hbcudigest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15,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Binford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"All right,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"Hmm, I don't know about that." Because,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claustrophobic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just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nice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claustrophobic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little bit of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1,000 or 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Pulitzer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teaching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to me,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Maslow's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students.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I'll give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bring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it's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does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LBGQ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communication. I think one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an adult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reality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those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ride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It's not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let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exactly.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/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big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gatekeepers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through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Vanderbilt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interested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show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Orleans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superintendent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counselors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mean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man, that's probably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juvenile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students,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especially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 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cliché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think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their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theamericanschoolcounselorassociation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Twitter @ascatweets and Instagram @weareasca. Thanks and hear from you soon. I am Jen Walsh, and this has been, I Hear You Say, the podcast from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Rodney Robinson_Final (Completed  04/27/22)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2pAo-bEOVbjSJYTArdx6VNJLlk7bT9YDAvVTJ2Wtkpdsr9HDhyFSzJUxCDUBT1jSt7Q1akg0g1jCBYa6gieBv70IN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