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restrooms.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discrimination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Grimm's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rollercoaster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Grimm's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harassment.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real-world,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undeniable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harassment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hammered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lawsuit.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saga.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anti-LGBT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disproportionate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Fairfax.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misgendered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dead-named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Gloucester,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non-binary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up-to-date.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Wikipedia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HRC,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ACLU,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sufficient.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Xello.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kindergarten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xello.world/ASCA,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X-E-L-L-O.world/A-S-C-A,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enormous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jeopardy."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Gloucester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GSAs.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conservative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malicious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future-proof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pain-free.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whatsoever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call-out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 Grimm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schoolcounselor.org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@ASCATweets,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@WeAreASCA.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Gavin Grimm_Final (Completed  05/06/22)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06,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7IRri2NZ58fpiVYP2M_kh84sRty6mZIDmFp337qy1jsGa4S8jkGvfceqWwl_17iaIwj_R31_8_lH7X3iMSVG8cXWwdw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