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00:05:05]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00:07:02]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*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ACCUPLACER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ACCUPLACER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ACCUPLACER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FAFSA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FAFSA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antiquated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FAFSA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FAFSA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Zaretta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 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weareasca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Marianne_Final (Completed  01/31/22)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31,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VJWYRTuYVpmo9Xi7nrQiqejYug-qtiiksR38SJjdX2rj4rAWzTSL1vdBCLKNOFmvkVKn2Qt_5rApkgLZ_uSYJ1LhDR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