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Sheryl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superintendent's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LCFS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superintendent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Assembly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1802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superintendent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conquer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absenteeism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questionnaire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exemplary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exemplary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Cougar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Cougar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Cougar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Cougar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Arteaga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toothbrush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giveaways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forensics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CJSF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robotics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robotics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forensics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ASCAtweets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WeAreASCA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Alma Lopez_Final (Completed  01/31/22)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31,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hmODsn9PGDfQv_wIXafsOVA0-r-UAb7-HBk3YVOKsQv8hrcspYsTLTMi-kz7eLBu2xUtPUYpktBTnoggOKXsHl7NN7c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