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",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25th,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Chauvin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bigotry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philanthropic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proliferation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Eric Heinz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caretaker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Eric Heinz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Eric Heinz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00:13:48]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upheaval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many of 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you're in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only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Chauvin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motivations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assets,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Isaac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looked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enrichment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bibliocounseling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bibliocounseling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complacency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faintness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same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Eric Heinz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Morris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matriculation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gatekeepers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Eric Heinz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Arlbery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Trayvon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trepidation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dramatic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multifaceted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repository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James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proliferate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redemptive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reach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incredibly thorough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redemptive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Eric Heinz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Heinz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 ASCAtweets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weareasca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Males of Color_FINAL (Completed  05/25/21)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MYppLeBgQysUP1iqCsOJt8NN2KLTUf5koYEinPiq3xEi4mhP1d5ojq7p9MFGQyED26Pz64gBeKh0-3bzsVn6yNlXiX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