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Jen Walsh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Pernicious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Lemberger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Manhattan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Lemberger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Adolescent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Lemberger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empirically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theoretical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tailored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Lemberger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ancillary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Lemberger-Truelove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situatedness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occasions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oscillate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oscillation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heuristics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situatedness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Jen Walsh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appraisal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coherent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LMHCs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Lemberger-Truelove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dichotomous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ascertained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disenchanted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oscillation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conceptualize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trivial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pertinent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Jen Walsh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reshaping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ambiguity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ambiguity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pathologized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ambiguity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Lemberger-Truelove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infiltrating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erroneously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quasi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illustrates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amplified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ambiguity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satisfying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satisfied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ambiguity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empirically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longitudinal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disturbances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pristine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impediments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occupied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ambiguity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Jen Walsh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Lemberger-Truelove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shortsighted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spontaneous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installation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spontaneously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unbeknownst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Jen Walsh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Lemberger-Truelove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disenchanted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Jen Walsh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reshaping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Lemberger-Truelove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melancholy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doldrums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nomenclature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stimuli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tailor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ameliorating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simultaneously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germane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proximal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mathematics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explicitly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illustrates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germane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pedagogical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pedagogical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Lemberger-Truelove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exhausting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exhausting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cohesive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exhausting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coherent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appraisal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parallel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coherent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exhausting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anecdotal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exhaustion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panacea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coherent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ambiguity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pertinence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Jen Walsh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interrelatedness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Lemberger-Truelove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injustices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unavoidably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coherent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marginalize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Lemberger-Truelove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promulgate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predisposition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apprehend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inevitably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situatedness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00:33:31]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situatedness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controversial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Lemberger-Truelove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anecdote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regurgitate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pertinent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exemplified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preoccupied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precipitated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abhorred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disenchanted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rejection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recalibrate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spontaneous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defacto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Jen Walsh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embodied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appraisal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Lemberger-Truelove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convenience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fulcrum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situatedness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recruited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milieu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underneath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fulcrum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axioms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nomenclature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coherent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exhaustive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 Levy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Jen Walsh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SCE Special Issue FINAL (Completed  09/23/21)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24,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Xdhldt617l8-_KShy1U-q5ChOYx7bHFevIzzNxB-KIHSQA8HzKe5s8wsf4KuF65dFhAwh1gNnwWmQGO_VMvrZ4SnyXU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